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9856" w14:textId="77777777" w:rsidR="00347994" w:rsidRDefault="00347994">
      <w:pPr>
        <w:pStyle w:val="Title"/>
        <w:jc w:val="left"/>
        <w:rPr>
          <w:rFonts w:ascii="AvantGarde" w:hAnsi="AvantGarde"/>
          <w:noProof/>
          <w:sz w:val="4"/>
        </w:rPr>
      </w:pPr>
      <w:r>
        <w:t xml:space="preserve">                                                                                          </w:t>
      </w:r>
      <w:r>
        <w:rPr>
          <w:rFonts w:ascii="AvantGarde" w:hAnsi="AvantGarde"/>
          <w:noProof/>
          <w:sz w:val="4"/>
        </w:rPr>
        <w:t xml:space="preserve">                                                                                                                                                                        </w:t>
      </w:r>
    </w:p>
    <w:p w14:paraId="38E5DF6D" w14:textId="77777777" w:rsidR="00347994" w:rsidRDefault="00347994">
      <w:pPr>
        <w:pStyle w:val="Title"/>
        <w:jc w:val="left"/>
        <w:rPr>
          <w:rFonts w:ascii="AvantGarde" w:hAnsi="AvantGarde"/>
          <w:noProof/>
          <w:sz w:val="4"/>
        </w:rPr>
      </w:pPr>
    </w:p>
    <w:p w14:paraId="65B93DAD" w14:textId="77777777" w:rsidR="00347994" w:rsidRDefault="00242EB0">
      <w:pPr>
        <w:pStyle w:val="Title"/>
        <w:jc w:val="left"/>
      </w:pPr>
      <w:r>
        <w:rPr>
          <w:noProof/>
        </w:rPr>
        <mc:AlternateContent>
          <mc:Choice Requires="wps">
            <w:drawing>
              <wp:anchor distT="0" distB="0" distL="114300" distR="114300" simplePos="0" relativeHeight="251658240" behindDoc="0" locked="0" layoutInCell="1" allowOverlap="1" wp14:anchorId="3E6D00EF" wp14:editId="76C9A02C">
                <wp:simplePos x="0" y="0"/>
                <wp:positionH relativeFrom="column">
                  <wp:posOffset>845820</wp:posOffset>
                </wp:positionH>
                <wp:positionV relativeFrom="paragraph">
                  <wp:posOffset>29210</wp:posOffset>
                </wp:positionV>
                <wp:extent cx="5189220" cy="685800"/>
                <wp:effectExtent l="7620" t="10160" r="1333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89220" cy="685800"/>
                        </a:xfrm>
                        <a:prstGeom prst="rect">
                          <a:avLst/>
                        </a:prstGeom>
                        <a:solidFill>
                          <a:srgbClr val="FFFFFF"/>
                        </a:solidFill>
                        <a:ln w="9525">
                          <a:solidFill>
                            <a:srgbClr val="000000"/>
                          </a:solidFill>
                          <a:miter lim="800000"/>
                          <a:headEnd/>
                          <a:tailEnd/>
                        </a:ln>
                      </wps:spPr>
                      <wps:txbx>
                        <w:txbxContent>
                          <w:p w14:paraId="4A9B19DA" w14:textId="77777777" w:rsidR="00347994" w:rsidRDefault="00347994">
                            <w:pPr>
                              <w:pStyle w:val="Heading2"/>
                              <w:rPr>
                                <w:sz w:val="40"/>
                              </w:rPr>
                            </w:pPr>
                            <w:r>
                              <w:rPr>
                                <w:sz w:val="40"/>
                              </w:rPr>
                              <w:t>Identifying Organizational Conflicts of Interest (OCI) Primer</w:t>
                            </w:r>
                          </w:p>
                          <w:p w14:paraId="3B3B8DD2" w14:textId="77777777" w:rsidR="00347994" w:rsidRDefault="00347994">
                            <w:pPr>
                              <w:pStyle w:val="Heading2"/>
                              <w:rPr>
                                <w:sz w:val="40"/>
                              </w:rPr>
                            </w:pPr>
                            <w:r>
                              <w:rPr>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D00EF" id="_x0000_t202" coordsize="21600,21600" o:spt="202" path="m,l,21600r21600,l21600,xe">
                <v:stroke joinstyle="miter"/>
                <v:path gradientshapeok="t" o:connecttype="rect"/>
              </v:shapetype>
              <v:shape id="Text Box 2" o:spid="_x0000_s1026" type="#_x0000_t202" style="position:absolute;margin-left:66.6pt;margin-top:2.3pt;width:408.6pt;height:5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">
                <v:textbox>
                  <w:txbxContent>
                    <w:p w14:paraId="4A9B19DA" w14:textId="77777777" w:rsidR="00347994" w:rsidRDefault="00347994">
                      <w:pPr>
                        <w:pStyle w:val="Heading2"/>
                        <w:rPr>
                          <w:sz w:val="40"/>
                        </w:rPr>
                      </w:pPr>
                      <w:r>
                        <w:rPr>
                          <w:sz w:val="40"/>
                        </w:rPr>
                        <w:t>Identifying Organizational Conflicts of Interest (OCI) Primer</w:t>
                      </w:r>
                    </w:p>
                    <w:p w14:paraId="3B3B8DD2" w14:textId="77777777" w:rsidR="00347994" w:rsidRDefault="00347994">
                      <w:pPr>
                        <w:pStyle w:val="Heading2"/>
                        <w:rPr>
                          <w:sz w:val="40"/>
                        </w:rPr>
                      </w:pPr>
                      <w:r>
                        <w:rPr>
                          <w:sz w:val="40"/>
                        </w:rPr>
                        <w:t xml:space="preserve"> </w:t>
                      </w:r>
                    </w:p>
                  </w:txbxContent>
                </v:textbox>
                <w10:wrap type="square"/>
              </v:shape>
            </w:pict>
          </mc:Fallback>
        </mc:AlternateContent>
      </w:r>
      <w:r w:rsidR="00347994">
        <w:rPr>
          <w:rFonts w:ascii="AvantGarde" w:hAnsi="AvantGarde"/>
          <w:noProof/>
          <w:sz w:val="4"/>
        </w:rPr>
        <w:t xml:space="preserve">                         </w:t>
      </w:r>
    </w:p>
    <w:p w14:paraId="0E7FF0F7" w14:textId="77777777" w:rsidR="00347994" w:rsidRDefault="00347994">
      <w:pPr>
        <w:jc w:val="center"/>
        <w:rPr>
          <w:b/>
          <w:bCs/>
        </w:rPr>
      </w:pPr>
    </w:p>
    <w:p w14:paraId="5D4BE269" w14:textId="77777777" w:rsidR="00347994" w:rsidRDefault="00347994">
      <w:pPr>
        <w:jc w:val="center"/>
        <w:rPr>
          <w:b/>
          <w:bCs/>
        </w:rPr>
      </w:pPr>
    </w:p>
    <w:p w14:paraId="4339B634" w14:textId="77777777" w:rsidR="00347994" w:rsidRPr="00CF3DC7" w:rsidRDefault="00347994">
      <w:pPr>
        <w:pStyle w:val="Subtitle"/>
        <w:jc w:val="left"/>
        <w:rPr>
          <w:sz w:val="22"/>
          <w:szCs w:val="22"/>
        </w:rPr>
      </w:pPr>
    </w:p>
    <w:p w14:paraId="180FBD7D" w14:textId="77777777" w:rsidR="00347994" w:rsidRPr="00CF3DC7" w:rsidRDefault="00347994">
      <w:pPr>
        <w:pStyle w:val="Subtitle"/>
        <w:jc w:val="left"/>
        <w:rPr>
          <w:sz w:val="22"/>
          <w:szCs w:val="22"/>
        </w:rPr>
      </w:pPr>
    </w:p>
    <w:p w14:paraId="2EE51AA9" w14:textId="77777777" w:rsidR="00347994" w:rsidRDefault="00347994" w:rsidP="00051CC2">
      <w:pPr>
        <w:pStyle w:val="Subtitle"/>
        <w:jc w:val="left"/>
        <w:rPr>
          <w:b w:val="0"/>
          <w:sz w:val="22"/>
          <w:szCs w:val="22"/>
          <w:u w:val="none"/>
        </w:rPr>
      </w:pPr>
      <w:r w:rsidRPr="00CF3DC7">
        <w:t>OVERVIEW</w:t>
      </w:r>
      <w:r w:rsidRPr="00CF3DC7">
        <w:rPr>
          <w:sz w:val="22"/>
          <w:szCs w:val="22"/>
        </w:rPr>
        <w:br/>
      </w:r>
      <w:r w:rsidRPr="00CF3DC7">
        <w:rPr>
          <w:b w:val="0"/>
          <w:iCs/>
          <w:sz w:val="22"/>
          <w:szCs w:val="22"/>
          <w:u w:val="none"/>
        </w:rPr>
        <w:t xml:space="preserve">OCI </w:t>
      </w:r>
      <w:r w:rsidRPr="00CF3DC7">
        <w:rPr>
          <w:b w:val="0"/>
          <w:sz w:val="22"/>
          <w:szCs w:val="22"/>
          <w:u w:val="none"/>
        </w:rPr>
        <w:t xml:space="preserve">is a </w:t>
      </w:r>
      <w:r w:rsidRPr="00CF3DC7">
        <w:rPr>
          <w:b w:val="0"/>
          <w:iCs/>
          <w:sz w:val="22"/>
          <w:szCs w:val="22"/>
          <w:u w:val="none"/>
        </w:rPr>
        <w:t>circumstance in which a contractor may have unequal access to government information, or the</w:t>
      </w:r>
      <w:r w:rsidRPr="00CF3DC7">
        <w:rPr>
          <w:b w:val="0"/>
          <w:sz w:val="22"/>
          <w:szCs w:val="22"/>
          <w:u w:val="none"/>
        </w:rPr>
        <w:t xml:space="preserve"> existence of conflicting roles that might bias a contractor’s judgment; either of which could lead to an unfair competitive advantage.  OCI can occur when a contractor is providing engineering and technical direction, or advisory, analysis, assistance, and evaluation services, preparing specifications and work statements, or acting in a capacity that gives them access to proprietary data. It is the government professional’s duty and legal obligation to ensure that it is not permitted to occur.  The potential for organizational conflicts is a growing concern as the government outsources more technical work to private companies and the defense industry continues to consolidate.</w:t>
      </w:r>
      <w:r>
        <w:rPr>
          <w:b w:val="0"/>
          <w:sz w:val="22"/>
          <w:szCs w:val="22"/>
          <w:u w:val="none"/>
        </w:rPr>
        <w:t xml:space="preserve">  As we partner more with industry, the opportunities for OCI grow.  </w:t>
      </w:r>
    </w:p>
    <w:p w14:paraId="263C8C5B" w14:textId="77777777" w:rsidR="00347994" w:rsidRPr="00CF3DC7" w:rsidRDefault="00347994" w:rsidP="00051CC2">
      <w:pPr>
        <w:pStyle w:val="Subtitle"/>
        <w:jc w:val="left"/>
        <w:rPr>
          <w:sz w:val="22"/>
          <w:szCs w:val="22"/>
        </w:rPr>
      </w:pPr>
    </w:p>
    <w:p w14:paraId="7BE1330E" w14:textId="77777777" w:rsidR="00347994" w:rsidRPr="00CF3DC7" w:rsidRDefault="00347994">
      <w:pPr>
        <w:pStyle w:val="Heading1"/>
      </w:pPr>
      <w:r w:rsidRPr="00CF3DC7">
        <w:t>DISCUSSION</w:t>
      </w:r>
    </w:p>
    <w:p w14:paraId="0970A28A" w14:textId="77777777" w:rsidR="00347994" w:rsidRPr="00CF3DC7" w:rsidRDefault="00347994">
      <w:pPr>
        <w:rPr>
          <w:sz w:val="22"/>
          <w:szCs w:val="22"/>
        </w:rPr>
      </w:pPr>
      <w:r w:rsidRPr="00CF3DC7">
        <w:rPr>
          <w:sz w:val="22"/>
          <w:szCs w:val="22"/>
        </w:rPr>
        <w:t xml:space="preserve">- </w:t>
      </w:r>
      <w:r w:rsidRPr="00CF3DC7">
        <w:rPr>
          <w:b/>
          <w:sz w:val="22"/>
          <w:szCs w:val="22"/>
        </w:rPr>
        <w:t>Three broad categories of OCI</w:t>
      </w:r>
      <w:r w:rsidRPr="00CF3DC7">
        <w:rPr>
          <w:sz w:val="22"/>
          <w:szCs w:val="22"/>
        </w:rPr>
        <w:t xml:space="preserve"> </w:t>
      </w:r>
    </w:p>
    <w:p w14:paraId="411844C0" w14:textId="77777777" w:rsidR="00347994" w:rsidRPr="00CF3DC7" w:rsidRDefault="00347994">
      <w:pPr>
        <w:ind w:left="360"/>
        <w:rPr>
          <w:sz w:val="22"/>
          <w:szCs w:val="22"/>
        </w:rPr>
      </w:pPr>
      <w:r w:rsidRPr="00CF3DC7">
        <w:rPr>
          <w:sz w:val="22"/>
          <w:szCs w:val="22"/>
        </w:rPr>
        <w:t xml:space="preserve">-- </w:t>
      </w:r>
      <w:r w:rsidRPr="00CF3DC7">
        <w:rPr>
          <w:b/>
          <w:sz w:val="22"/>
          <w:szCs w:val="22"/>
        </w:rPr>
        <w:t>Unequal Access</w:t>
      </w:r>
      <w:r w:rsidRPr="00CF3DC7">
        <w:rPr>
          <w:sz w:val="22"/>
          <w:szCs w:val="22"/>
        </w:rPr>
        <w:t>--provides unfair competitive advantage through obtaining information not generally available to other competitors, would assist in winning the contract over competitors.</w:t>
      </w:r>
    </w:p>
    <w:p w14:paraId="5B125191" w14:textId="77777777" w:rsidR="00347994" w:rsidRPr="00CF3DC7" w:rsidRDefault="00347994">
      <w:pPr>
        <w:ind w:firstLine="360"/>
        <w:rPr>
          <w:sz w:val="22"/>
          <w:szCs w:val="22"/>
        </w:rPr>
      </w:pPr>
      <w:r w:rsidRPr="00CF3DC7">
        <w:rPr>
          <w:sz w:val="22"/>
          <w:szCs w:val="22"/>
        </w:rPr>
        <w:t xml:space="preserve">-- </w:t>
      </w:r>
      <w:r w:rsidRPr="00CF3DC7">
        <w:rPr>
          <w:b/>
          <w:sz w:val="22"/>
          <w:szCs w:val="22"/>
        </w:rPr>
        <w:t>Impaired Objectivity</w:t>
      </w:r>
      <w:r w:rsidRPr="00CF3DC7">
        <w:rPr>
          <w:sz w:val="22"/>
          <w:szCs w:val="22"/>
        </w:rPr>
        <w:t>--contractor is performing duties in assessing their performance.  This also may involve evaluating products and/or services of competitors.</w:t>
      </w:r>
    </w:p>
    <w:p w14:paraId="68CFFD04" w14:textId="77777777" w:rsidR="00347994" w:rsidRPr="00CF3DC7" w:rsidRDefault="00347994">
      <w:pPr>
        <w:ind w:firstLine="360"/>
        <w:rPr>
          <w:sz w:val="22"/>
          <w:szCs w:val="22"/>
        </w:rPr>
      </w:pPr>
      <w:r w:rsidRPr="00CF3DC7">
        <w:rPr>
          <w:sz w:val="22"/>
          <w:szCs w:val="22"/>
        </w:rPr>
        <w:t xml:space="preserve">-- </w:t>
      </w:r>
      <w:r w:rsidRPr="00CF3DC7">
        <w:rPr>
          <w:b/>
          <w:sz w:val="22"/>
          <w:szCs w:val="22"/>
        </w:rPr>
        <w:t>Biased Ground Rules</w:t>
      </w:r>
      <w:r w:rsidRPr="00CF3DC7">
        <w:rPr>
          <w:sz w:val="22"/>
          <w:szCs w:val="22"/>
        </w:rPr>
        <w:t xml:space="preserve"> most often come into play when the contractor is writing the SOW, performing systems engineering, or providing technical direction efforts.</w:t>
      </w:r>
    </w:p>
    <w:p w14:paraId="0E2A7E63" w14:textId="77777777" w:rsidR="00347994" w:rsidRPr="00CF3DC7" w:rsidRDefault="00347994">
      <w:pPr>
        <w:rPr>
          <w:sz w:val="22"/>
          <w:szCs w:val="22"/>
        </w:rPr>
      </w:pPr>
      <w:r w:rsidRPr="00CF3DC7">
        <w:rPr>
          <w:sz w:val="22"/>
          <w:szCs w:val="22"/>
        </w:rPr>
        <w:t xml:space="preserve">- </w:t>
      </w:r>
      <w:r w:rsidRPr="00CF3DC7">
        <w:rPr>
          <w:b/>
          <w:sz w:val="22"/>
          <w:szCs w:val="22"/>
        </w:rPr>
        <w:t>Key ways to deal with OCI</w:t>
      </w:r>
      <w:r w:rsidRPr="00CF3DC7">
        <w:rPr>
          <w:sz w:val="22"/>
          <w:szCs w:val="22"/>
        </w:rPr>
        <w:t xml:space="preserve">   </w:t>
      </w:r>
    </w:p>
    <w:p w14:paraId="0F3F6014" w14:textId="77777777" w:rsidR="00347994" w:rsidRPr="00CF3DC7" w:rsidRDefault="00347994">
      <w:pPr>
        <w:tabs>
          <w:tab w:val="left" w:pos="540"/>
        </w:tabs>
        <w:rPr>
          <w:sz w:val="22"/>
          <w:szCs w:val="22"/>
        </w:rPr>
      </w:pPr>
      <w:r w:rsidRPr="00CF3DC7">
        <w:rPr>
          <w:sz w:val="22"/>
          <w:szCs w:val="22"/>
        </w:rPr>
        <w:t xml:space="preserve">     -- </w:t>
      </w:r>
      <w:r w:rsidRPr="00CF3DC7">
        <w:rPr>
          <w:b/>
          <w:sz w:val="22"/>
          <w:szCs w:val="22"/>
        </w:rPr>
        <w:t>Avoid</w:t>
      </w:r>
      <w:r w:rsidRPr="00CF3DC7">
        <w:rPr>
          <w:sz w:val="22"/>
          <w:szCs w:val="22"/>
        </w:rPr>
        <w:t xml:space="preserve"> -</w:t>
      </w:r>
      <w:r w:rsidRPr="00CF3DC7">
        <w:rPr>
          <w:b/>
          <w:bCs/>
          <w:sz w:val="22"/>
          <w:szCs w:val="22"/>
        </w:rPr>
        <w:t xml:space="preserve"> </w:t>
      </w:r>
      <w:r w:rsidRPr="00CF3DC7">
        <w:rPr>
          <w:sz w:val="22"/>
          <w:szCs w:val="22"/>
        </w:rPr>
        <w:t xml:space="preserve">Prevent the occurrence of an actual or potential OCI through actions such as excluding sources or eliminating a segment of work from task to eliminate the potential for an OCI. </w:t>
      </w:r>
    </w:p>
    <w:p w14:paraId="0D559704" w14:textId="77777777" w:rsidR="00347994" w:rsidRPr="00CF3DC7" w:rsidRDefault="00347994">
      <w:pPr>
        <w:rPr>
          <w:sz w:val="22"/>
          <w:szCs w:val="22"/>
        </w:rPr>
      </w:pPr>
      <w:r w:rsidRPr="00CF3DC7">
        <w:rPr>
          <w:sz w:val="22"/>
          <w:szCs w:val="22"/>
        </w:rPr>
        <w:t xml:space="preserve">     -- </w:t>
      </w:r>
      <w:r w:rsidRPr="00CF3DC7">
        <w:rPr>
          <w:b/>
          <w:sz w:val="22"/>
          <w:szCs w:val="22"/>
        </w:rPr>
        <w:t>Neutralize</w:t>
      </w:r>
      <w:r w:rsidRPr="00CF3DC7">
        <w:rPr>
          <w:b/>
          <w:bCs/>
          <w:sz w:val="22"/>
          <w:szCs w:val="22"/>
        </w:rPr>
        <w:t xml:space="preserve"> - </w:t>
      </w:r>
      <w:r w:rsidRPr="00CF3DC7">
        <w:rPr>
          <w:sz w:val="22"/>
          <w:szCs w:val="22"/>
        </w:rPr>
        <w:t xml:space="preserve">Negate potential or actual OCI related to (1) contractor objectivity during contract performance or (2) an unfair competitive advantage. Specific actions would include encouraging/facilitating support contractor recusal, excluding/severely limiting support contractor participation in source selection activities, and otherwise barring access to competition sensitive data. </w:t>
      </w:r>
    </w:p>
    <w:p w14:paraId="278F2D53" w14:textId="77777777" w:rsidR="00347994" w:rsidRPr="00CF3DC7" w:rsidRDefault="00347994" w:rsidP="00AD2675">
      <w:pPr>
        <w:tabs>
          <w:tab w:val="left" w:pos="360"/>
        </w:tabs>
        <w:rPr>
          <w:sz w:val="22"/>
          <w:szCs w:val="22"/>
        </w:rPr>
      </w:pPr>
      <w:r w:rsidRPr="00CF3DC7">
        <w:rPr>
          <w:sz w:val="22"/>
          <w:szCs w:val="22"/>
        </w:rPr>
        <w:t xml:space="preserve">     -- </w:t>
      </w:r>
      <w:r w:rsidRPr="00CF3DC7">
        <w:rPr>
          <w:b/>
          <w:sz w:val="22"/>
          <w:szCs w:val="22"/>
        </w:rPr>
        <w:t>Mitigate</w:t>
      </w:r>
      <w:r w:rsidRPr="00CF3DC7">
        <w:rPr>
          <w:sz w:val="22"/>
          <w:szCs w:val="22"/>
        </w:rPr>
        <w:t xml:space="preserve"> </w:t>
      </w:r>
      <w:r w:rsidRPr="00CF3DC7">
        <w:rPr>
          <w:b/>
          <w:bCs/>
          <w:sz w:val="22"/>
          <w:szCs w:val="22"/>
        </w:rPr>
        <w:t xml:space="preserve">- </w:t>
      </w:r>
      <w:r w:rsidRPr="00CF3DC7">
        <w:rPr>
          <w:sz w:val="22"/>
          <w:szCs w:val="22"/>
        </w:rPr>
        <w:t xml:space="preserve">Reduce or alleviate the impact of </w:t>
      </w:r>
      <w:r w:rsidRPr="00CF3DC7">
        <w:rPr>
          <w:bCs/>
          <w:iCs/>
          <w:sz w:val="22"/>
          <w:szCs w:val="22"/>
        </w:rPr>
        <w:t>unavoidable</w:t>
      </w:r>
      <w:r w:rsidRPr="00CF3DC7">
        <w:rPr>
          <w:b/>
          <w:bCs/>
          <w:i/>
          <w:iCs/>
          <w:sz w:val="22"/>
          <w:szCs w:val="22"/>
        </w:rPr>
        <w:t xml:space="preserve"> </w:t>
      </w:r>
      <w:r w:rsidRPr="00CF3DC7">
        <w:rPr>
          <w:sz w:val="22"/>
          <w:szCs w:val="22"/>
        </w:rPr>
        <w:t>OCIs to an acceptable level of risk so that the Government’s interests to fair competition and/or contract performance are not prejudiced.</w:t>
      </w:r>
    </w:p>
    <w:p w14:paraId="3ACA9DD2" w14:textId="77777777" w:rsidR="00347994" w:rsidRPr="00CF3DC7" w:rsidRDefault="00347994" w:rsidP="00AD2675">
      <w:pPr>
        <w:tabs>
          <w:tab w:val="left" w:pos="360"/>
        </w:tabs>
        <w:rPr>
          <w:sz w:val="22"/>
          <w:szCs w:val="22"/>
        </w:rPr>
      </w:pPr>
      <w:r w:rsidRPr="00CF3DC7">
        <w:rPr>
          <w:sz w:val="22"/>
          <w:szCs w:val="22"/>
        </w:rPr>
        <w:t xml:space="preserve">- </w:t>
      </w:r>
      <w:r w:rsidRPr="00CF3DC7">
        <w:rPr>
          <w:b/>
          <w:sz w:val="22"/>
          <w:szCs w:val="22"/>
        </w:rPr>
        <w:t>OCI Mitigation Plan</w:t>
      </w:r>
      <w:r w:rsidRPr="00CF3DC7">
        <w:rPr>
          <w:sz w:val="22"/>
          <w:szCs w:val="22"/>
        </w:rPr>
        <w:t xml:space="preserve"> – A contractor designs an OCI Mitigation Plan which proposes actions to identify and reduce actual or apparent OCIs to an acceptable level as approved by the JAG and Contracting Officer.  The analysis of possible conflict, their significance, and risk to the company and Government must be thoroughly or well documented.  </w:t>
      </w:r>
    </w:p>
    <w:p w14:paraId="0A1564DF" w14:textId="77777777" w:rsidR="00347994" w:rsidRDefault="00347994" w:rsidP="00AD2675">
      <w:pPr>
        <w:tabs>
          <w:tab w:val="left" w:pos="360"/>
        </w:tabs>
      </w:pPr>
    </w:p>
    <w:p w14:paraId="71CB81D8" w14:textId="77777777" w:rsidR="00347994" w:rsidRDefault="00347994">
      <w:pPr>
        <w:pStyle w:val="Heading1"/>
      </w:pPr>
      <w:r>
        <w:t>SUMMARY</w:t>
      </w:r>
    </w:p>
    <w:p w14:paraId="27413C92" w14:textId="77777777" w:rsidR="00347994" w:rsidRPr="00CF3DC7" w:rsidRDefault="00347994" w:rsidP="00AD2675">
      <w:pPr>
        <w:rPr>
          <w:sz w:val="22"/>
          <w:szCs w:val="22"/>
        </w:rPr>
      </w:pPr>
      <w:r w:rsidRPr="00CF3DC7">
        <w:rPr>
          <w:sz w:val="22"/>
          <w:szCs w:val="22"/>
        </w:rPr>
        <w:t>It is important to avoid real or apparent OCI to maintain the trust and confidence of the American taxpayer and contractor community. Since the contractor community needs to have absolute confidence in the impartiality of the government acquisition process, it is our professional duty to maintain the faith of the contractor community. If you suspect OCI, speak up, so make sure you contact your Contracting Officer immediately with your concerns!</w:t>
      </w:r>
    </w:p>
    <w:p w14:paraId="0CBD85AF" w14:textId="77777777" w:rsidR="00347994" w:rsidRDefault="00347994" w:rsidP="00AD2675">
      <w:pPr>
        <w:rPr>
          <w:sz w:val="16"/>
        </w:rPr>
      </w:pPr>
    </w:p>
    <w:p w14:paraId="5DBE397A" w14:textId="77777777" w:rsidR="00347994" w:rsidRPr="00DC7A46" w:rsidRDefault="00347994">
      <w:pPr>
        <w:pStyle w:val="Heading1"/>
        <w:rPr>
          <w:b w:val="0"/>
        </w:rPr>
      </w:pPr>
      <w:r>
        <w:t xml:space="preserve">TRAINING RESOURCES </w:t>
      </w:r>
    </w:p>
    <w:p w14:paraId="65AFF248" w14:textId="77777777" w:rsidR="00347994" w:rsidRPr="00AD2675" w:rsidRDefault="00347994" w:rsidP="00CF3DC7">
      <w:pPr>
        <w:numPr>
          <w:ilvl w:val="0"/>
          <w:numId w:val="5"/>
        </w:numPr>
        <w:rPr>
          <w:sz w:val="22"/>
          <w:szCs w:val="22"/>
        </w:rPr>
      </w:pPr>
      <w:r w:rsidRPr="00AD2675">
        <w:rPr>
          <w:sz w:val="22"/>
          <w:szCs w:val="22"/>
        </w:rPr>
        <w:t xml:space="preserve">Guide For </w:t>
      </w:r>
      <w:proofErr w:type="gramStart"/>
      <w:r w:rsidRPr="00AD2675">
        <w:rPr>
          <w:sz w:val="22"/>
          <w:szCs w:val="22"/>
        </w:rPr>
        <w:t>The</w:t>
      </w:r>
      <w:proofErr w:type="gramEnd"/>
      <w:r w:rsidRPr="00AD2675">
        <w:rPr>
          <w:sz w:val="22"/>
          <w:szCs w:val="22"/>
        </w:rPr>
        <w:t xml:space="preserve"> Government - Contractor Relationship</w:t>
      </w:r>
    </w:p>
    <w:p w14:paraId="29EEA2C1" w14:textId="77777777" w:rsidR="00347994" w:rsidRPr="00BD070C" w:rsidRDefault="00242EB0" w:rsidP="00BD070C">
      <w:pPr>
        <w:rPr>
          <w:sz w:val="22"/>
          <w:szCs w:val="22"/>
        </w:rPr>
      </w:pPr>
      <w:hyperlink r:id="rId7" w:history="1">
        <w:r w:rsidR="00347994" w:rsidRPr="00865A1E">
          <w:rPr>
            <w:rStyle w:val="Hyperlink"/>
            <w:bCs/>
            <w:sz w:val="22"/>
            <w:szCs w:val="22"/>
          </w:rPr>
          <w:t>https://www.my.af.mil/gcss-af/USAF/AFP40/d/s6925EC133CA00FB5E044080020E329A9/Files/Other.Pubs/Other.Guides/gov.ctr.relationship.doc</w:t>
        </w:r>
      </w:hyperlink>
    </w:p>
    <w:p w14:paraId="42E67D7C" w14:textId="77777777" w:rsidR="00347994" w:rsidRPr="00AD2675" w:rsidRDefault="00347994" w:rsidP="00984C03">
      <w:pPr>
        <w:numPr>
          <w:ilvl w:val="0"/>
          <w:numId w:val="5"/>
        </w:numPr>
        <w:rPr>
          <w:sz w:val="22"/>
          <w:szCs w:val="22"/>
        </w:rPr>
      </w:pPr>
      <w:r w:rsidRPr="00AD2675">
        <w:rPr>
          <w:sz w:val="22"/>
          <w:szCs w:val="22"/>
        </w:rPr>
        <w:t xml:space="preserve">FAR Part 9.5 - Organizational Conflicts of Interest </w:t>
      </w:r>
    </w:p>
    <w:p w14:paraId="1F68E0CE" w14:textId="77777777" w:rsidR="00347994" w:rsidRPr="00AD2675" w:rsidRDefault="00242EB0" w:rsidP="00CF3DC7">
      <w:hyperlink r:id="rId8" w:anchor="P527_90400" w:history="1">
        <w:r w:rsidR="00347994" w:rsidRPr="00AD2675">
          <w:rPr>
            <w:rStyle w:val="Hyperlink"/>
            <w:sz w:val="22"/>
            <w:szCs w:val="22"/>
          </w:rPr>
          <w:t>http://farsite.hill.af.mil/reghtml/regs/far2afmcfars/fardfars/far/09.htm#P527_90400</w:t>
        </w:r>
      </w:hyperlink>
    </w:p>
    <w:p w14:paraId="158501C0" w14:textId="77777777" w:rsidR="00347994" w:rsidRDefault="00347994" w:rsidP="00CF3DC7">
      <w:pPr>
        <w:numPr>
          <w:ilvl w:val="0"/>
          <w:numId w:val="5"/>
        </w:numPr>
        <w:rPr>
          <w:sz w:val="22"/>
          <w:szCs w:val="22"/>
        </w:rPr>
      </w:pPr>
      <w:r>
        <w:rPr>
          <w:sz w:val="22"/>
          <w:szCs w:val="22"/>
        </w:rPr>
        <w:t>SAF AQC Library Improper Business Practices &amp; Personal Conflicts of Interest</w:t>
      </w:r>
    </w:p>
    <w:p w14:paraId="2AA0DE18" w14:textId="77777777" w:rsidR="00347994" w:rsidRDefault="00242EB0">
      <w:pPr>
        <w:rPr>
          <w:sz w:val="22"/>
          <w:szCs w:val="22"/>
        </w:rPr>
      </w:pPr>
      <w:hyperlink r:id="rId9" w:history="1">
        <w:r w:rsidR="00347994" w:rsidRPr="00546DBF">
          <w:rPr>
            <w:rStyle w:val="Hyperlink"/>
            <w:sz w:val="22"/>
            <w:szCs w:val="22"/>
          </w:rPr>
          <w:t>https://www.my.af.mil/gcss-af/afp40/USAF/ep/contentView.do?contentType=EDITORIAL&amp;contentId=1349011&amp;programId=1347013&amp;pageId=681742&amp;channelPageId=-1989826</w:t>
        </w:r>
      </w:hyperlink>
    </w:p>
    <w:p w14:paraId="78751329" w14:textId="77777777" w:rsidR="00347994" w:rsidRPr="001E72E9" w:rsidRDefault="00242EB0" w:rsidP="001E72E9">
      <w:pPr>
        <w:numPr>
          <w:ilvl w:val="0"/>
          <w:numId w:val="5"/>
        </w:numPr>
        <w:rPr>
          <w:sz w:val="22"/>
          <w:szCs w:val="22"/>
        </w:rPr>
      </w:pPr>
      <w:hyperlink r:id="rId10" w:history="1">
        <w:r w:rsidR="00347994" w:rsidRPr="001E72E9">
          <w:rPr>
            <w:rStyle w:val="Hyperlink"/>
            <w:sz w:val="22"/>
            <w:szCs w:val="22"/>
          </w:rPr>
          <w:t>AF Mandatory Procedures 5303</w:t>
        </w:r>
      </w:hyperlink>
      <w:r w:rsidR="00347994">
        <w:rPr>
          <w:rFonts w:ascii="Verdana" w:hAnsi="Verdana"/>
          <w:b/>
          <w:sz w:val="20"/>
        </w:rPr>
        <w:t xml:space="preserve">, </w:t>
      </w:r>
      <w:r w:rsidR="00347994">
        <w:rPr>
          <w:sz w:val="22"/>
          <w:szCs w:val="22"/>
        </w:rPr>
        <w:t>Improper Business Practices &amp; Personal Conflicts of Interest</w:t>
      </w:r>
    </w:p>
    <w:sectPr w:rsidR="00347994" w:rsidRPr="001E72E9" w:rsidSect="009F5174">
      <w:footerReference w:type="default" r:id="rId11"/>
      <w:pgSz w:w="12240" w:h="15840" w:code="1"/>
      <w:pgMar w:top="576" w:right="720" w:bottom="187"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D5E5" w14:textId="77777777" w:rsidR="00347994" w:rsidRDefault="00347994">
      <w:r>
        <w:separator/>
      </w:r>
    </w:p>
  </w:endnote>
  <w:endnote w:type="continuationSeparator" w:id="0">
    <w:p w14:paraId="675F97ED" w14:textId="77777777" w:rsidR="00347994" w:rsidRDefault="0034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2F5D" w14:textId="77777777" w:rsidR="00347994" w:rsidRDefault="00347994">
    <w:pPr>
      <w:pStyle w:val="Footer"/>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9F89" w14:textId="77777777" w:rsidR="00347994" w:rsidRDefault="00347994">
      <w:r>
        <w:separator/>
      </w:r>
    </w:p>
  </w:footnote>
  <w:footnote w:type="continuationSeparator" w:id="0">
    <w:p w14:paraId="09DA4447" w14:textId="77777777" w:rsidR="00347994" w:rsidRDefault="0034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AC8"/>
    <w:multiLevelType w:val="hybridMultilevel"/>
    <w:tmpl w:val="D79C35DA"/>
    <w:lvl w:ilvl="0" w:tplc="36326E24">
      <w:start w:val="1"/>
      <w:numFmt w:val="bullet"/>
      <w:lvlText w:val=""/>
      <w:lvlJc w:val="left"/>
      <w:pPr>
        <w:tabs>
          <w:tab w:val="num" w:pos="720"/>
        </w:tabs>
        <w:ind w:left="720" w:hanging="360"/>
      </w:pPr>
      <w:rPr>
        <w:rFonts w:ascii="Symbol" w:hAnsi="Symbol" w:hint="default"/>
        <w:sz w:val="20"/>
      </w:rPr>
    </w:lvl>
    <w:lvl w:ilvl="1" w:tplc="D45A2050">
      <w:start w:val="1"/>
      <w:numFmt w:val="bullet"/>
      <w:lvlText w:val=""/>
      <w:lvlJc w:val="left"/>
      <w:pPr>
        <w:tabs>
          <w:tab w:val="num" w:pos="1440"/>
        </w:tabs>
        <w:ind w:left="1440" w:hanging="360"/>
      </w:pPr>
      <w:rPr>
        <w:rFonts w:ascii="Symbol" w:hAnsi="Symbol" w:hint="default"/>
        <w:sz w:val="20"/>
      </w:rPr>
    </w:lvl>
    <w:lvl w:ilvl="2" w:tplc="16CA86D2">
      <w:start w:val="1"/>
      <w:numFmt w:val="bullet"/>
      <w:lvlText w:val=""/>
      <w:lvlJc w:val="left"/>
      <w:pPr>
        <w:tabs>
          <w:tab w:val="num" w:pos="2160"/>
        </w:tabs>
        <w:ind w:left="2160" w:hanging="360"/>
      </w:pPr>
      <w:rPr>
        <w:rFonts w:ascii="Symbol" w:hAnsi="Symbol" w:hint="default"/>
        <w:sz w:val="20"/>
      </w:rPr>
    </w:lvl>
    <w:lvl w:ilvl="3" w:tplc="8A36DDA6" w:tentative="1">
      <w:start w:val="1"/>
      <w:numFmt w:val="bullet"/>
      <w:lvlText w:val=""/>
      <w:lvlJc w:val="left"/>
      <w:pPr>
        <w:tabs>
          <w:tab w:val="num" w:pos="2880"/>
        </w:tabs>
        <w:ind w:left="2880" w:hanging="360"/>
      </w:pPr>
      <w:rPr>
        <w:rFonts w:ascii="Wingdings" w:hAnsi="Wingdings" w:hint="default"/>
        <w:sz w:val="20"/>
      </w:rPr>
    </w:lvl>
    <w:lvl w:ilvl="4" w:tplc="CCE64026" w:tentative="1">
      <w:start w:val="1"/>
      <w:numFmt w:val="bullet"/>
      <w:lvlText w:val=""/>
      <w:lvlJc w:val="left"/>
      <w:pPr>
        <w:tabs>
          <w:tab w:val="num" w:pos="3600"/>
        </w:tabs>
        <w:ind w:left="3600" w:hanging="360"/>
      </w:pPr>
      <w:rPr>
        <w:rFonts w:ascii="Wingdings" w:hAnsi="Wingdings" w:hint="default"/>
        <w:sz w:val="20"/>
      </w:rPr>
    </w:lvl>
    <w:lvl w:ilvl="5" w:tplc="7E12FBA0" w:tentative="1">
      <w:start w:val="1"/>
      <w:numFmt w:val="bullet"/>
      <w:lvlText w:val=""/>
      <w:lvlJc w:val="left"/>
      <w:pPr>
        <w:tabs>
          <w:tab w:val="num" w:pos="4320"/>
        </w:tabs>
        <w:ind w:left="4320" w:hanging="360"/>
      </w:pPr>
      <w:rPr>
        <w:rFonts w:ascii="Wingdings" w:hAnsi="Wingdings" w:hint="default"/>
        <w:sz w:val="20"/>
      </w:rPr>
    </w:lvl>
    <w:lvl w:ilvl="6" w:tplc="AC38706E" w:tentative="1">
      <w:start w:val="1"/>
      <w:numFmt w:val="bullet"/>
      <w:lvlText w:val=""/>
      <w:lvlJc w:val="left"/>
      <w:pPr>
        <w:tabs>
          <w:tab w:val="num" w:pos="5040"/>
        </w:tabs>
        <w:ind w:left="5040" w:hanging="360"/>
      </w:pPr>
      <w:rPr>
        <w:rFonts w:ascii="Wingdings" w:hAnsi="Wingdings" w:hint="default"/>
        <w:sz w:val="20"/>
      </w:rPr>
    </w:lvl>
    <w:lvl w:ilvl="7" w:tplc="9DE0309E" w:tentative="1">
      <w:start w:val="1"/>
      <w:numFmt w:val="bullet"/>
      <w:lvlText w:val=""/>
      <w:lvlJc w:val="left"/>
      <w:pPr>
        <w:tabs>
          <w:tab w:val="num" w:pos="5760"/>
        </w:tabs>
        <w:ind w:left="5760" w:hanging="360"/>
      </w:pPr>
      <w:rPr>
        <w:rFonts w:ascii="Wingdings" w:hAnsi="Wingdings" w:hint="default"/>
        <w:sz w:val="20"/>
      </w:rPr>
    </w:lvl>
    <w:lvl w:ilvl="8" w:tplc="9516DFA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C573A"/>
    <w:multiLevelType w:val="hybridMultilevel"/>
    <w:tmpl w:val="B3821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63017"/>
    <w:multiLevelType w:val="multilevel"/>
    <w:tmpl w:val="27845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81078"/>
    <w:multiLevelType w:val="hybridMultilevel"/>
    <w:tmpl w:val="678864D6"/>
    <w:lvl w:ilvl="0" w:tplc="53D473A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127C3"/>
    <w:multiLevelType w:val="hybridMultilevel"/>
    <w:tmpl w:val="2784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6"/>
    <w:rsid w:val="00051CC2"/>
    <w:rsid w:val="0005240C"/>
    <w:rsid w:val="000747E3"/>
    <w:rsid w:val="0009514D"/>
    <w:rsid w:val="000C4D29"/>
    <w:rsid w:val="000F1C86"/>
    <w:rsid w:val="001E72E9"/>
    <w:rsid w:val="00204816"/>
    <w:rsid w:val="002318A1"/>
    <w:rsid w:val="00242EB0"/>
    <w:rsid w:val="00264524"/>
    <w:rsid w:val="00293FBA"/>
    <w:rsid w:val="00347994"/>
    <w:rsid w:val="00546DBF"/>
    <w:rsid w:val="006469E2"/>
    <w:rsid w:val="00683606"/>
    <w:rsid w:val="00776D1D"/>
    <w:rsid w:val="00865A1E"/>
    <w:rsid w:val="00952241"/>
    <w:rsid w:val="00984C03"/>
    <w:rsid w:val="009F5174"/>
    <w:rsid w:val="00AD2675"/>
    <w:rsid w:val="00AF676D"/>
    <w:rsid w:val="00B4699D"/>
    <w:rsid w:val="00BD070C"/>
    <w:rsid w:val="00C82F5C"/>
    <w:rsid w:val="00CF3DC7"/>
    <w:rsid w:val="00DA1318"/>
    <w:rsid w:val="00DC7A46"/>
    <w:rsid w:val="00F068A0"/>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334DA4"/>
  <w15:docId w15:val="{1CE93133-9B7C-47BF-B832-530C57F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link w:val="Heading2Char"/>
    <w:uiPriority w:val="9"/>
    <w:qFormat/>
    <w:pPr>
      <w:keepNext/>
      <w:jc w:val="center"/>
      <w:outlineLvl w:val="1"/>
    </w:pPr>
    <w:rPr>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10B2"/>
    <w:rPr>
      <w:rFonts w:asciiTheme="majorHAnsi" w:eastAsiaTheme="majorEastAsia" w:hAnsiTheme="majorHAnsi" w:cstheme="majorBidi"/>
      <w:b/>
      <w:bCs/>
      <w:color w:val="4F81BD" w:themeColor="accent1"/>
      <w:sz w:val="26"/>
      <w:szCs w:val="26"/>
    </w:rPr>
  </w:style>
  <w:style w:type="paragraph" w:customStyle="1" w:styleId="E-mailStatementFOUO">
    <w:name w:val="E-mail Statement (FOUO)"/>
    <w:basedOn w:val="Normal"/>
    <w:pPr>
      <w:ind w:left="360"/>
      <w:jc w:val="center"/>
    </w:pPr>
    <w:rPr>
      <w:rFonts w:ascii="Arial" w:hAnsi="Arial" w:cs="Arial"/>
      <w:noProof/>
      <w:color w:val="FF0000"/>
      <w:sz w:val="20"/>
      <w:szCs w:val="20"/>
    </w:rPr>
  </w:style>
  <w:style w:type="paragraph" w:customStyle="1" w:styleId="E-mailStatementPrivacyAct">
    <w:name w:val="E-mail Statement (Privacy Act)"/>
    <w:basedOn w:val="Normal"/>
    <w:autoRedefine/>
    <w:pPr>
      <w:jc w:val="center"/>
    </w:pPr>
    <w:rPr>
      <w:rFonts w:ascii="Arial" w:hAnsi="Arial" w:cs="Arial"/>
      <w:noProof/>
      <w:color w:val="FF0000"/>
      <w:sz w:val="20"/>
      <w:szCs w:val="20"/>
    </w:rPr>
  </w:style>
  <w:style w:type="paragraph" w:customStyle="1" w:styleId="E-mailStatementAcquisitions">
    <w:name w:val="E-mail Statement (Acquisitions)"/>
    <w:basedOn w:val="Normal"/>
    <w:autoRedefine/>
    <w:pPr>
      <w:jc w:val="center"/>
    </w:pPr>
    <w:rPr>
      <w:rFonts w:ascii="Arial" w:hAnsi="Arial" w:cs="Arial"/>
      <w:noProof/>
      <w:color w:val="FF0000"/>
      <w:sz w:val="20"/>
      <w:szCs w:val="20"/>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1310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pPr>
      <w:jc w:val="both"/>
    </w:pPr>
    <w:rPr>
      <w:b/>
      <w:bCs/>
      <w:u w:val="single"/>
    </w:rPr>
  </w:style>
  <w:style w:type="character" w:customStyle="1" w:styleId="SubtitleChar">
    <w:name w:val="Subtitle Char"/>
    <w:basedOn w:val="DefaultParagraphFont"/>
    <w:link w:val="Subtitle"/>
    <w:uiPriority w:val="11"/>
    <w:rsid w:val="001310B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310B2"/>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310B2"/>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1310B2"/>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310B2"/>
    <w:rPr>
      <w:sz w:val="0"/>
      <w:szCs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131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7325">
      <w:marLeft w:val="0"/>
      <w:marRight w:val="0"/>
      <w:marTop w:val="0"/>
      <w:marBottom w:val="0"/>
      <w:divBdr>
        <w:top w:val="none" w:sz="0" w:space="0" w:color="auto"/>
        <w:left w:val="none" w:sz="0" w:space="0" w:color="auto"/>
        <w:bottom w:val="none" w:sz="0" w:space="0" w:color="auto"/>
        <w:right w:val="none" w:sz="0" w:space="0" w:color="auto"/>
      </w:divBdr>
      <w:divsChild>
        <w:div w:id="514617322">
          <w:marLeft w:val="0"/>
          <w:marRight w:val="0"/>
          <w:marTop w:val="0"/>
          <w:marBottom w:val="75"/>
          <w:divBdr>
            <w:top w:val="none" w:sz="0" w:space="0" w:color="auto"/>
            <w:left w:val="none" w:sz="0" w:space="0" w:color="auto"/>
            <w:bottom w:val="none" w:sz="0" w:space="0" w:color="auto"/>
            <w:right w:val="none" w:sz="0" w:space="0" w:color="auto"/>
          </w:divBdr>
          <w:divsChild>
            <w:div w:id="514617321">
              <w:marLeft w:val="0"/>
              <w:marRight w:val="0"/>
              <w:marTop w:val="0"/>
              <w:marBottom w:val="0"/>
              <w:divBdr>
                <w:top w:val="none" w:sz="0" w:space="0" w:color="auto"/>
                <w:left w:val="none" w:sz="0" w:space="0" w:color="auto"/>
                <w:bottom w:val="none" w:sz="0" w:space="0" w:color="auto"/>
                <w:right w:val="none" w:sz="0" w:space="0" w:color="auto"/>
              </w:divBdr>
              <w:divsChild>
                <w:div w:id="514617324">
                  <w:marLeft w:val="0"/>
                  <w:marRight w:val="0"/>
                  <w:marTop w:val="0"/>
                  <w:marBottom w:val="0"/>
                  <w:divBdr>
                    <w:top w:val="none" w:sz="0" w:space="0" w:color="auto"/>
                    <w:left w:val="none" w:sz="0" w:space="0" w:color="auto"/>
                    <w:bottom w:val="none" w:sz="0" w:space="0" w:color="auto"/>
                    <w:right w:val="none" w:sz="0" w:space="0" w:color="auto"/>
                  </w:divBdr>
                  <w:divsChild>
                    <w:div w:id="514617326">
                      <w:marLeft w:val="0"/>
                      <w:marRight w:val="0"/>
                      <w:marTop w:val="0"/>
                      <w:marBottom w:val="0"/>
                      <w:divBdr>
                        <w:top w:val="none" w:sz="0" w:space="0" w:color="auto"/>
                        <w:left w:val="none" w:sz="0" w:space="0" w:color="auto"/>
                        <w:bottom w:val="none" w:sz="0" w:space="0" w:color="auto"/>
                        <w:right w:val="none" w:sz="0" w:space="0" w:color="auto"/>
                      </w:divBdr>
                      <w:divsChild>
                        <w:div w:id="5146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0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af.mil/gcss-af/USAF/AFP40/d/s6925EC133CA00FB5E044080020E329A9/Files/Other.Pubs/Other.Guides/gov.ctr.relationship.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arsite.hill.af.mil/reghtml/regs/far2afmcfars/af_afmc/affars/MP5303.htm" TargetMode="External"/><Relationship Id="rId4" Type="http://schemas.openxmlformats.org/officeDocument/2006/relationships/webSettings" Target="webSettings.xml"/><Relationship Id="rId9" Type="http://schemas.openxmlformats.org/officeDocument/2006/relationships/hyperlink" Target="https://www.my.af.mil/gcss-af/afp40/USAF/ep/contentView.do?contentType=EDITORIAL&amp;contentId=1349011&amp;programId=1347013&amp;pageId=681742&amp;channelPageId=-1989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4030</Characters>
  <Application>Microsoft Office Word</Application>
  <DocSecurity>0</DocSecurity>
  <Lines>33</Lines>
  <Paragraphs>9</Paragraphs>
  <ScaleCrop>false</ScaleCrop>
  <Company>USAF</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PRIMER (I</dc:title>
  <dc:subject/>
  <dc:creator>roger.westermeyer</dc:creator>
  <cp:keywords/>
  <dc:description/>
  <cp:lastModifiedBy>Berton Manning</cp:lastModifiedBy>
  <cp:revision>2</cp:revision>
  <cp:lastPrinted>2006-11-29T18:34:00Z</cp:lastPrinted>
  <dcterms:created xsi:type="dcterms:W3CDTF">2021-06-21T17:18:00Z</dcterms:created>
  <dcterms:modified xsi:type="dcterms:W3CDTF">2021-06-21T17:18:00Z</dcterms:modified>
</cp:coreProperties>
</file>